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29                               R2-2500763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Athens, Greece, Feb. 17th – 21st, 2025</w:t>
      </w:r>
    </w:p>
    <w:p>
      <w:pPr>
        <w:pStyle w:val="18"/>
        <w:jc w:val="both"/>
        <w:rPr>
          <w:rFonts w:cs="Arial" w:eastAsiaTheme="minorEastAsia"/>
          <w:sz w:val="22"/>
          <w:szCs w:val="22"/>
          <w:lang w:val="en-GB" w:eastAsia="zh-CN"/>
        </w:rPr>
      </w:pPr>
      <w:r>
        <w:rPr>
          <w:rFonts w:cs="Arial"/>
          <w:sz w:val="22"/>
          <w:szCs w:val="22"/>
          <w:lang w:val="en-GB"/>
        </w:rPr>
        <w:t xml:space="preserve">                                       </w:t>
      </w:r>
      <w:bookmarkStart w:id="7" w:name="_GoBack"/>
      <w:bookmarkEnd w:id="7"/>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uplink capacity enhancement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lang w:val="en-US"/>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RAN2#128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uplink capacity enhancement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pPr>
      <w:r>
        <w:t>Agreements:</w:t>
      </w:r>
    </w:p>
    <w:p>
      <w:pPr>
        <w:pStyle w:val="41"/>
        <w:pBdr>
          <w:top w:val="single" w:color="auto" w:sz="4" w:space="1"/>
          <w:left w:val="single" w:color="auto" w:sz="4" w:space="4"/>
          <w:bottom w:val="single" w:color="auto" w:sz="4" w:space="1"/>
          <w:right w:val="single" w:color="auto" w:sz="4" w:space="4"/>
        </w:pBdr>
      </w:pPr>
      <w:r>
        <w:t>1.</w:t>
      </w:r>
      <w:r>
        <w:tab/>
      </w:r>
      <w:r>
        <w:t>Only system Information is used to provide cell-specific CB-Msg3 PUSCH resources (FFS if anything is needed in dedicated signalling for the TA validation parameters, if needed, for the case of 15kHz SCS NB-IoT and eMTC CE mode B)</w:t>
      </w:r>
    </w:p>
    <w:p>
      <w:pPr>
        <w:pStyle w:val="41"/>
        <w:pBdr>
          <w:top w:val="single" w:color="auto" w:sz="4" w:space="1"/>
          <w:left w:val="single" w:color="auto" w:sz="4" w:space="4"/>
          <w:bottom w:val="single" w:color="auto" w:sz="4" w:space="1"/>
          <w:right w:val="single" w:color="auto" w:sz="4" w:space="4"/>
        </w:pBdr>
      </w:pPr>
      <w:r>
        <w:t>2.</w:t>
      </w:r>
      <w:r>
        <w:tab/>
      </w:r>
      <w:r>
        <w:t>Reuse the existing CE level selection procedure for CB-Msg3, at least for the initial selection. FFS whether we can reuse the same thresholds. FFS on the number of levels</w:t>
      </w:r>
    </w:p>
    <w:p>
      <w:pPr>
        <w:pStyle w:val="41"/>
        <w:pBdr>
          <w:top w:val="single" w:color="auto" w:sz="4" w:space="1"/>
          <w:left w:val="single" w:color="auto" w:sz="4" w:space="4"/>
          <w:bottom w:val="single" w:color="auto" w:sz="4" w:space="1"/>
          <w:right w:val="single" w:color="auto" w:sz="4" w:space="4"/>
        </w:pBdr>
      </w:pPr>
      <w:r>
        <w:t>3.</w:t>
      </w:r>
      <w:r>
        <w:tab/>
      </w:r>
      <w:r>
        <w:t>The UE triggers CB-Msg3 only if the size of pending UL data is less than the configured maximum TBS (FFS if the maximum TBS is same or different for different CE levels)</w:t>
      </w:r>
    </w:p>
    <w:p>
      <w:pPr>
        <w:pStyle w:val="41"/>
        <w:pBdr>
          <w:top w:val="single" w:color="auto" w:sz="4" w:space="1"/>
          <w:left w:val="single" w:color="auto" w:sz="4" w:space="4"/>
          <w:bottom w:val="single" w:color="auto" w:sz="4" w:space="1"/>
          <w:right w:val="single" w:color="auto" w:sz="4" w:space="4"/>
        </w:pBdr>
      </w:pPr>
      <w:r>
        <w:t>4.</w:t>
      </w:r>
      <w:r>
        <w:tab/>
      </w:r>
      <w:r>
        <w:t>There will be a RSRP threshold that determines whether CB-Msg3 can be used (if the RSRP is below such threshold, PRACH will have to be used) (FFS if we need a separate set of thresholds, including a different minimum threshold, in case CB-msg3 EDT is combined with OCC)</w:t>
      </w:r>
    </w:p>
    <w:p>
      <w:pPr>
        <w:pStyle w:val="41"/>
        <w:pBdr>
          <w:top w:val="single" w:color="auto" w:sz="4" w:space="1"/>
          <w:left w:val="single" w:color="auto" w:sz="4" w:space="4"/>
          <w:bottom w:val="single" w:color="auto" w:sz="4" w:space="1"/>
          <w:right w:val="single" w:color="auto" w:sz="4" w:space="4"/>
        </w:pBdr>
      </w:pPr>
      <w:r>
        <w:t>5.</w:t>
      </w:r>
      <w:r>
        <w:tab/>
      </w:r>
      <w:r>
        <w:t>The number of replicas for DSA will be configured by the NW: 1 (SA), 2, 3, 4. The configuration of the number of replicas is CE-level specific</w:t>
      </w:r>
    </w:p>
    <w:p>
      <w:pPr>
        <w:pStyle w:val="41"/>
        <w:pBdr>
          <w:top w:val="single" w:color="auto" w:sz="4" w:space="1"/>
          <w:left w:val="single" w:color="auto" w:sz="4" w:space="4"/>
          <w:bottom w:val="single" w:color="auto" w:sz="4" w:space="1"/>
          <w:right w:val="single" w:color="auto" w:sz="4" w:space="4"/>
        </w:pBdr>
      </w:pPr>
      <w:r>
        <w:t>6.</w:t>
      </w:r>
      <w:r>
        <w:tab/>
      </w:r>
      <w:r>
        <w:t>There will be a configurable time window for DSA CB-Msg3 occasion selection. FFS on the details (e.g. when the time window starts)</w:t>
      </w:r>
    </w:p>
    <w:p>
      <w:pPr>
        <w:pStyle w:val="41"/>
        <w:pBdr>
          <w:top w:val="single" w:color="auto" w:sz="4" w:space="1"/>
          <w:left w:val="single" w:color="auto" w:sz="4" w:space="4"/>
          <w:bottom w:val="single" w:color="auto" w:sz="4" w:space="1"/>
          <w:right w:val="single" w:color="auto" w:sz="4" w:space="4"/>
        </w:pBdr>
      </w:pPr>
      <w:r>
        <w:t>7.</w:t>
      </w:r>
      <w:r>
        <w:tab/>
      </w:r>
      <w:r>
        <w:t>For SA case (single replica), after the end of all repetition of CB-Msg3 PUSCH transmission, UE starts a window for response reception taking UE-eNB RTT into account. FFS if we need to consider additional delay e.g. for the processing time</w:t>
      </w:r>
    </w:p>
    <w:p>
      <w:pPr>
        <w:pStyle w:val="41"/>
        <w:pBdr>
          <w:top w:val="single" w:color="auto" w:sz="4" w:space="1"/>
          <w:left w:val="single" w:color="auto" w:sz="4" w:space="4"/>
          <w:bottom w:val="single" w:color="auto" w:sz="4" w:space="1"/>
          <w:right w:val="single" w:color="auto" w:sz="4" w:space="4"/>
        </w:pBdr>
      </w:pPr>
      <w:r>
        <w:t>8.</w:t>
      </w:r>
      <w:r>
        <w:tab/>
      </w:r>
      <w: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pPr>
        <w:pStyle w:val="41"/>
        <w:pBdr>
          <w:top w:val="single" w:color="auto" w:sz="4" w:space="1"/>
          <w:left w:val="single" w:color="auto" w:sz="4" w:space="4"/>
          <w:bottom w:val="single" w:color="auto" w:sz="4" w:space="1"/>
          <w:right w:val="single" w:color="auto" w:sz="4" w:space="4"/>
        </w:pBdr>
      </w:pPr>
      <w:r>
        <w:t>9.</w:t>
      </w:r>
      <w:r>
        <w:tab/>
      </w:r>
      <w:r>
        <w:t>The UE stops the PDCCH monitoring window(s) once it receives a CB-msg4 containing a matching Contention Resolution Identity (FFS if there is no RRC message together with the CB-msg4)</w:t>
      </w:r>
    </w:p>
    <w:p>
      <w:pPr>
        <w:pStyle w:val="41"/>
        <w:pBdr>
          <w:top w:val="single" w:color="auto" w:sz="4" w:space="1"/>
          <w:left w:val="single" w:color="auto" w:sz="4" w:space="4"/>
          <w:bottom w:val="single" w:color="auto" w:sz="4" w:space="1"/>
          <w:right w:val="single" w:color="auto" w:sz="4" w:space="4"/>
        </w:pBdr>
      </w:pPr>
      <w:r>
        <w:t>10.</w:t>
      </w:r>
      <w:r>
        <w:tab/>
      </w:r>
      <w: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pPr>
        <w:pStyle w:val="41"/>
        <w:pBdr>
          <w:top w:val="single" w:color="auto" w:sz="4" w:space="1"/>
          <w:left w:val="single" w:color="auto" w:sz="4" w:space="4"/>
          <w:bottom w:val="single" w:color="auto" w:sz="4" w:space="1"/>
          <w:right w:val="single" w:color="auto" w:sz="4" w:space="4"/>
        </w:pBdr>
      </w:pPr>
      <w:r>
        <w:t>11.</w:t>
      </w:r>
      <w:r>
        <w:tab/>
      </w:r>
      <w:r>
        <w:t>Within the configured time window, the UE shall select randomly different time domain occasions for transmitting different replicas. And for each time domain occasion, the UE shall select randomly a frequency domain resource.</w:t>
      </w:r>
    </w:p>
    <w:p>
      <w:pPr>
        <w:pStyle w:val="41"/>
        <w:pBdr>
          <w:top w:val="single" w:color="auto" w:sz="4" w:space="1"/>
          <w:left w:val="single" w:color="auto" w:sz="4" w:space="4"/>
          <w:bottom w:val="single" w:color="auto" w:sz="4" w:space="1"/>
          <w:right w:val="single" w:color="auto" w:sz="4" w:space="4"/>
        </w:pBdr>
        <w:rPr>
          <w:lang w:val="en-US"/>
        </w:rPr>
      </w:pPr>
      <w:r>
        <w:t>12.</w:t>
      </w:r>
      <w:r>
        <w:tab/>
      </w:r>
      <w:r>
        <w:t xml:space="preserve">RAN2 understands that, for DSA, once the eNB successfully decodes one of the multiple replicas, it may respond without </w:t>
      </w:r>
    </w:p>
    <w:p>
      <w:pPr>
        <w:pStyle w:val="41"/>
        <w:pBdr>
          <w:top w:val="single" w:color="auto" w:sz="4" w:space="1"/>
          <w:left w:val="single" w:color="auto" w:sz="4" w:space="4"/>
          <w:bottom w:val="single" w:color="auto" w:sz="4" w:space="1"/>
          <w:right w:val="single" w:color="auto" w:sz="4" w:space="4"/>
        </w:pBdr>
        <w:rPr>
          <w:lang w:val="en-US"/>
        </w:rP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DSA for CB-Msg3</w:t>
      </w:r>
    </w:p>
    <w:p>
      <w:p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In the last meeting it has made the agreement that the DSA will be supported, there will be a configurable time window for the UE to select CB-Msg3 occasion to transmit the replicas of the CB-Msg3 and the number of replicas for DSA is configured by the NW. After the UE transmits the replicas of the CB-Msg3, the UE has to monitor the PDCCH addressed by RNTI in a PDCCH monitoring window for contention resolution, the RNTI is derived based on the resource associated to the occasion. As there may be multiple occasion to transimit CB-Msg3 replicas, there maybe a chance that the UE has to monitor multiple RNTI in a period. This may exceed UE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capability or increace the UE</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s complexity. So it better for the UE to monitor only one RNTI.</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monitors only one RNTI in the </w:t>
      </w:r>
      <w:r>
        <w:rPr>
          <w:rFonts w:hint="eastAsia" w:ascii="Arial" w:hAnsi="Arial" w:eastAsia="宋体" w:cs="Arial"/>
          <w:sz w:val="21"/>
          <w:szCs w:val="20"/>
          <w:lang w:val="en-US" w:eastAsia="zh-CN" w:bidi="ar-SA"/>
        </w:rPr>
        <w:t>PDCCH monitoring window</w:t>
      </w:r>
      <w:r>
        <w:rPr>
          <w:rFonts w:hint="eastAsia" w:ascii="Arial" w:hAnsi="Arial" w:cs="Arial" w:eastAsiaTheme="minorEastAsia"/>
          <w:bCs w:val="0"/>
          <w:sz w:val="20"/>
          <w:szCs w:val="20"/>
          <w:lang w:val="en-US" w:eastAsia="zh-CN"/>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rPr>
      </w:pPr>
      <w:r>
        <w:rPr>
          <w:rFonts w:hint="eastAsia" w:ascii="Arial" w:hAnsi="Arial" w:eastAsia="宋体" w:cs="Arial"/>
          <w:b w:val="0"/>
          <w:bCs w:val="0"/>
          <w:sz w:val="21"/>
          <w:szCs w:val="20"/>
          <w:lang w:val="en-US" w:eastAsia="zh-CN"/>
        </w:rPr>
        <w:t>Regarding how the RNTI is derived, there are 2 approaches:</w:t>
      </w:r>
    </w:p>
    <w:p>
      <w:pPr>
        <w:pStyle w:val="94"/>
        <w:keepLines w:val="0"/>
        <w:pageBreakBefore w:val="0"/>
        <w:widowControl w:val="0"/>
        <w:numPr>
          <w:ilvl w:val="-1"/>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textAlignment w:val="auto"/>
        <w:rPr>
          <w:rFonts w:hint="eastAsia" w:ascii="Arial" w:hAnsi="Arial" w:eastAsia="宋体" w:cs="Arial"/>
          <w:b w:val="0"/>
          <w:bCs w:val="0"/>
          <w:sz w:val="21"/>
          <w:szCs w:val="20"/>
          <w:lang w:val="en-US" w:eastAsia="zh-CN"/>
        </w:rPr>
      </w:pPr>
      <w:r>
        <w:rPr>
          <w:rFonts w:hint="eastAsia" w:ascii="Arial" w:hAnsi="Arial" w:eastAsia="宋体" w:cs="Arial"/>
          <w:b w:val="0"/>
          <w:bCs w:val="0"/>
          <w:sz w:val="21"/>
          <w:szCs w:val="20"/>
          <w:lang w:val="en-US" w:eastAsia="zh-CN"/>
        </w:rPr>
        <w:t>1、The RNTI is derived based on the one of the resource location of the replicas the UE intended to send(e.g. the first replica). As the resource locations of the replicas are randomly selecte by the UE, to make the network derive the same RNTI, the derived RNTI or resouce location used to derive RNTI can be included in the CB-Msg3.</w:t>
      </w:r>
    </w:p>
    <w:p>
      <w:pPr>
        <w:pStyle w:val="94"/>
        <w:keepLines w:val="0"/>
        <w:pageBreakBefore w:val="0"/>
        <w:widowControl w:val="0"/>
        <w:numPr>
          <w:ilvl w:val="-1"/>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textAlignment w:val="auto"/>
        <w:rPr>
          <w:rFonts w:hint="eastAsia" w:ascii="Arial" w:hAnsi="Arial" w:eastAsia="宋体" w:cs="Arial"/>
          <w:b w:val="0"/>
          <w:bCs w:val="0"/>
          <w:sz w:val="21"/>
          <w:szCs w:val="20"/>
          <w:lang w:val="en-US" w:eastAsia="zh-CN"/>
        </w:rPr>
      </w:pPr>
      <w:r>
        <w:rPr>
          <w:rFonts w:hint="eastAsia" w:ascii="Arial" w:hAnsi="Arial" w:eastAsia="宋体" w:cs="Arial"/>
          <w:b w:val="0"/>
          <w:bCs w:val="0"/>
          <w:sz w:val="21"/>
          <w:szCs w:val="20"/>
          <w:lang w:val="en-US" w:eastAsia="zh-CN"/>
        </w:rPr>
        <w:t>2、The RNTI is derived based on the time window the UE selectes CB-Msg3 occasion to transmit CB-Msg3. In this way, all the UEs sending the CB-Msg3 replica using the same time winow use the same RNTI.</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bookmarkStart w:id="1" w:name="OLE_LINK1"/>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consider the following approach to derive RNTI:</w:t>
      </w:r>
    </w:p>
    <w:bookmarkEnd w:id="1"/>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Cs w:val="0"/>
          <w:sz w:val="20"/>
          <w:szCs w:val="20"/>
          <w:lang w:val="en-US" w:eastAsia="zh-CN"/>
        </w:rPr>
        <w:t>1、</w:t>
      </w:r>
      <w:r>
        <w:rPr>
          <w:rFonts w:hint="eastAsia" w:ascii="Arial" w:hAnsi="Arial" w:cs="Arial" w:eastAsiaTheme="minorEastAsia"/>
          <w:b/>
          <w:bCs w:val="0"/>
          <w:sz w:val="20"/>
          <w:szCs w:val="20"/>
          <w:lang w:val="en-US" w:eastAsia="zh-CN"/>
        </w:rPr>
        <w:t>The RNTI is derived based on one of the resource location of the replicas the UE intended to send.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2、The RNTI is derived based on the time window the UE selectes CB-Msg3 occasion to transmit CB-Msg3.</w:t>
      </w:r>
    </w:p>
    <w:p>
      <w:pPr>
        <w:pStyle w:val="3"/>
        <w:rPr>
          <w:rFonts w:hint="eastAsia" w:ascii="Arial" w:hAnsi="Arial" w:eastAsia="MS Mincho" w:cs="Arial"/>
          <w:b/>
          <w:bCs/>
          <w:iCs/>
          <w:kern w:val="32"/>
          <w:sz w:val="28"/>
          <w:szCs w:val="28"/>
          <w:lang w:val="en-US" w:eastAsia="zh-CN"/>
        </w:rPr>
      </w:pPr>
      <w:r>
        <w:rPr>
          <w:rFonts w:hint="eastAsia" w:cs="Arial"/>
          <w:b/>
          <w:bCs/>
          <w:iCs/>
          <w:kern w:val="32"/>
          <w:sz w:val="28"/>
          <w:szCs w:val="28"/>
          <w:lang w:val="en-US" w:eastAsia="zh-CN"/>
        </w:rPr>
        <w:t xml:space="preserve"> </w:t>
      </w:r>
      <w:r>
        <w:rPr>
          <w:rFonts w:hint="eastAsia" w:ascii="Arial" w:hAnsi="Arial" w:eastAsia="MS Mincho" w:cs="Arial"/>
          <w:b/>
          <w:bCs/>
          <w:iCs/>
          <w:kern w:val="32"/>
          <w:sz w:val="28"/>
          <w:szCs w:val="28"/>
          <w:lang w:val="en-US" w:eastAsia="zh-CN"/>
        </w:rPr>
        <w:t>Efficient delivery of Msg4</w:t>
      </w:r>
    </w:p>
    <w:p>
      <w:pPr>
        <w:pStyle w:val="94"/>
        <w:keepLines w:val="0"/>
        <w:pageBreakBefore w:val="0"/>
        <w:widowControl w:val="0"/>
        <w:numPr>
          <w:ilvl w:val="-1"/>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textAlignment w:val="auto"/>
        <w:rPr>
          <w:rFonts w:hint="default" w:ascii="Arial" w:hAnsi="Arial" w:eastAsia="宋体" w:cs="Arial"/>
          <w:b w:val="0"/>
          <w:bCs w:val="0"/>
          <w:iCs w:val="0"/>
          <w:kern w:val="0"/>
          <w:sz w:val="21"/>
          <w:szCs w:val="20"/>
          <w:lang w:val="en-US" w:eastAsia="zh-CN"/>
        </w:rPr>
      </w:pPr>
      <w:r>
        <w:rPr>
          <w:rFonts w:hint="eastAsia" w:ascii="Arial" w:hAnsi="Arial" w:eastAsia="宋体" w:cs="Arial"/>
          <w:b w:val="0"/>
          <w:bCs w:val="0"/>
          <w:iCs w:val="0"/>
          <w:kern w:val="0"/>
          <w:sz w:val="21"/>
          <w:szCs w:val="20"/>
          <w:lang w:val="en-US" w:eastAsia="zh-CN"/>
        </w:rPr>
        <w:t>If RNTI is derived based on one of the resource location of the replicas or the time window, there may be some UEs monitoring the same RNTI, so multiple UE</w:t>
      </w:r>
      <w:r>
        <w:rPr>
          <w:rFonts w:hint="default" w:ascii="Arial" w:hAnsi="Arial" w:eastAsia="宋体" w:cs="Arial"/>
          <w:b w:val="0"/>
          <w:bCs w:val="0"/>
          <w:iCs w:val="0"/>
          <w:kern w:val="0"/>
          <w:sz w:val="21"/>
          <w:szCs w:val="20"/>
          <w:lang w:val="en-US" w:eastAsia="zh-CN"/>
        </w:rPr>
        <w:t>’</w:t>
      </w:r>
      <w:r>
        <w:rPr>
          <w:rFonts w:hint="eastAsia" w:ascii="Arial" w:hAnsi="Arial" w:eastAsia="宋体" w:cs="Arial"/>
          <w:b w:val="0"/>
          <w:bCs w:val="0"/>
          <w:iCs w:val="0"/>
          <w:kern w:val="0"/>
          <w:sz w:val="21"/>
          <w:szCs w:val="20"/>
          <w:lang w:val="en-US" w:eastAsia="zh-CN"/>
        </w:rPr>
        <w:t>s contention resolution identity can be included in the Msg4 to save PDCCH resource. If there are further data for the UE, the C-RNTI can be also included together with the UE</w:t>
      </w:r>
      <w:r>
        <w:rPr>
          <w:rFonts w:hint="default" w:ascii="Arial" w:hAnsi="Arial" w:eastAsia="宋体" w:cs="Arial"/>
          <w:b w:val="0"/>
          <w:bCs w:val="0"/>
          <w:iCs w:val="0"/>
          <w:kern w:val="0"/>
          <w:sz w:val="21"/>
          <w:szCs w:val="20"/>
          <w:lang w:val="en-US" w:eastAsia="zh-CN"/>
        </w:rPr>
        <w:t>’</w:t>
      </w:r>
      <w:r>
        <w:rPr>
          <w:rFonts w:hint="eastAsia" w:ascii="Arial" w:hAnsi="Arial" w:eastAsia="宋体" w:cs="Arial"/>
          <w:b w:val="0"/>
          <w:bCs w:val="0"/>
          <w:iCs w:val="0"/>
          <w:kern w:val="0"/>
          <w:sz w:val="21"/>
          <w:szCs w:val="20"/>
          <w:lang w:val="en-US" w:eastAsia="zh-CN"/>
        </w:rPr>
        <w:t>s contention resolution identity. If the UE receives the matched contention resolution identity and the corresponding C-RNTI, the UE continues monitoring the C-RNTI for futher data, if the UE receives the mathced contention resolution identity and no corresponding C-RNTI, the UE gos into IDEL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iCs w:val="0"/>
          <w:kern w:val="0"/>
          <w:sz w:val="20"/>
          <w:szCs w:val="20"/>
          <w:lang w:val="en-US" w:eastAsia="zh-CN"/>
        </w:rPr>
      </w:pPr>
      <w:r>
        <w:rPr>
          <w:rFonts w:hint="eastAsia" w:ascii="Arial" w:hAnsi="Arial" w:cs="Arial" w:eastAsiaTheme="minorEastAsia"/>
          <w:bCs w:val="0"/>
          <w:sz w:val="20"/>
          <w:szCs w:val="20"/>
          <w:lang w:val="en-US" w:eastAsia="zh-CN"/>
        </w:rPr>
        <w:t xml:space="preserve">Proposal 3: </w:t>
      </w:r>
      <w:r>
        <w:rPr>
          <w:rFonts w:hint="eastAsia" w:ascii="Arial" w:hAnsi="Arial" w:cs="Arial" w:eastAsiaTheme="minorEastAsia"/>
          <w:b/>
          <w:bCs w:val="0"/>
          <w:iCs w:val="0"/>
          <w:kern w:val="0"/>
          <w:sz w:val="20"/>
          <w:szCs w:val="20"/>
          <w:lang w:val="en-US" w:eastAsia="zh-CN"/>
        </w:rPr>
        <w:t>multiple UE</w:t>
      </w:r>
      <w:r>
        <w:rPr>
          <w:rFonts w:hint="default" w:ascii="Arial" w:hAnsi="Arial" w:cs="Arial" w:eastAsiaTheme="minorEastAsia"/>
          <w:b/>
          <w:bCs w:val="0"/>
          <w:iCs w:val="0"/>
          <w:kern w:val="0"/>
          <w:sz w:val="20"/>
          <w:szCs w:val="20"/>
          <w:lang w:val="en-US" w:eastAsia="zh-CN"/>
        </w:rPr>
        <w:t>’</w:t>
      </w:r>
      <w:r>
        <w:rPr>
          <w:rFonts w:hint="eastAsia" w:ascii="Arial" w:hAnsi="Arial" w:cs="Arial" w:eastAsiaTheme="minorEastAsia"/>
          <w:b/>
          <w:bCs w:val="0"/>
          <w:iCs w:val="0"/>
          <w:kern w:val="0"/>
          <w:sz w:val="20"/>
          <w:szCs w:val="20"/>
          <w:lang w:val="en-US" w:eastAsia="zh-CN"/>
        </w:rPr>
        <w:t>s contention resolution identity can be included in the Msg4.</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iCs w:val="0"/>
          <w:kern w:val="0"/>
          <w:sz w:val="20"/>
          <w:szCs w:val="20"/>
          <w:lang w:val="en-US" w:eastAsia="zh-CN"/>
        </w:rPr>
      </w:pPr>
      <w:r>
        <w:rPr>
          <w:rFonts w:hint="eastAsia" w:ascii="Arial" w:hAnsi="Arial" w:cs="Arial" w:eastAsiaTheme="minorEastAsia"/>
          <w:bCs w:val="0"/>
          <w:sz w:val="20"/>
          <w:szCs w:val="20"/>
          <w:lang w:val="en-US" w:eastAsia="zh-CN"/>
        </w:rPr>
        <w:t>Proposal 4: C-RNTI</w:t>
      </w:r>
      <w:r>
        <w:rPr>
          <w:rFonts w:hint="eastAsia" w:ascii="Arial" w:hAnsi="Arial" w:cs="Arial" w:eastAsiaTheme="minorEastAsia"/>
          <w:b/>
          <w:bCs w:val="0"/>
          <w:iCs w:val="0"/>
          <w:kern w:val="0"/>
          <w:sz w:val="20"/>
          <w:szCs w:val="20"/>
          <w:lang w:val="en-US" w:eastAsia="zh-CN"/>
        </w:rPr>
        <w:t xml:space="preserve"> can be included in the Msg4.</w:t>
      </w:r>
    </w:p>
    <w:p>
      <w:pPr>
        <w:pStyle w:val="94"/>
        <w:widowControl w:val="0"/>
        <w:numPr>
          <w:ilvl w:val="0"/>
          <w:numId w:val="0"/>
        </w:numPr>
        <w:tabs>
          <w:tab w:val="clear" w:pos="1304"/>
        </w:tabs>
        <w:spacing w:before="361" w:beforeLines="100" w:line="360" w:lineRule="auto"/>
        <w:rPr>
          <w:rFonts w:hint="eastAsia" w:ascii="Arial" w:hAnsi="Arial" w:eastAsia="宋体" w:cs="Arial"/>
          <w:sz w:val="21"/>
          <w:szCs w:val="20"/>
          <w:lang w:val="en-US" w:eastAsia="zh-CN" w:bidi="ar-SA"/>
        </w:rPr>
      </w:pP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uplink capacity enhancement</w:t>
      </w:r>
      <w:r>
        <w:rPr>
          <w:rFonts w:hint="eastAsia" w:eastAsia="宋体" w:cs="Times New Roman"/>
          <w:color w:val="000000" w:themeColor="text1"/>
          <w:lang w:val="en-US" w:eastAsia="zh-CN"/>
          <w14:textFill>
            <w14:solidFill>
              <w14:schemeClr w14:val="tx1"/>
            </w14:solidFill>
          </w14:textFill>
        </w:rPr>
        <w:t xml:space="preserv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monitors only one RNTI in the </w:t>
      </w:r>
      <w:r>
        <w:rPr>
          <w:rFonts w:hint="eastAsia" w:ascii="Arial" w:hAnsi="Arial" w:eastAsia="宋体" w:cs="Arial"/>
          <w:sz w:val="21"/>
          <w:szCs w:val="20"/>
          <w:lang w:val="en-US" w:eastAsia="zh-CN" w:bidi="ar-SA"/>
        </w:rPr>
        <w:t>PDCCH monitoring window</w:t>
      </w:r>
      <w:r>
        <w:rPr>
          <w:rFonts w:hint="eastAsia" w:ascii="Arial" w:hAnsi="Arial" w:cs="Arial" w:eastAsiaTheme="minorEastAsia"/>
          <w:bCs w:val="0"/>
          <w:sz w:val="20"/>
          <w:szCs w:val="20"/>
          <w:lang w:val="en-US" w:eastAsia="zh-CN"/>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consider the following approach to derive RNTI:</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Cs w:val="0"/>
          <w:sz w:val="20"/>
          <w:szCs w:val="20"/>
          <w:lang w:val="en-US" w:eastAsia="zh-CN"/>
        </w:rPr>
        <w:t>1、</w:t>
      </w:r>
      <w:r>
        <w:rPr>
          <w:rFonts w:hint="eastAsia" w:ascii="Arial" w:hAnsi="Arial" w:cs="Arial" w:eastAsiaTheme="minorEastAsia"/>
          <w:b/>
          <w:bCs w:val="0"/>
          <w:sz w:val="20"/>
          <w:szCs w:val="20"/>
          <w:lang w:val="en-US" w:eastAsia="zh-CN"/>
        </w:rPr>
        <w:t>The RNTI is derived based on one of the resource location of the replicas the UE intended to send.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2、The RNTI is derived based on the time window the UE selectes CB-Msg3 occasion to transmit CB-Msg3.</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iCs w:val="0"/>
          <w:kern w:val="0"/>
          <w:sz w:val="20"/>
          <w:szCs w:val="20"/>
          <w:lang w:val="en-US" w:eastAsia="zh-CN"/>
        </w:rPr>
      </w:pPr>
      <w:r>
        <w:rPr>
          <w:rFonts w:hint="eastAsia" w:ascii="Arial" w:hAnsi="Arial" w:cs="Arial" w:eastAsiaTheme="minorEastAsia"/>
          <w:bCs w:val="0"/>
          <w:sz w:val="20"/>
          <w:szCs w:val="20"/>
          <w:lang w:val="en-US" w:eastAsia="zh-CN"/>
        </w:rPr>
        <w:t xml:space="preserve">Proposal 3: </w:t>
      </w:r>
      <w:r>
        <w:rPr>
          <w:rFonts w:hint="eastAsia" w:ascii="Arial" w:hAnsi="Arial" w:cs="Arial" w:eastAsiaTheme="minorEastAsia"/>
          <w:b/>
          <w:bCs w:val="0"/>
          <w:iCs w:val="0"/>
          <w:kern w:val="0"/>
          <w:sz w:val="20"/>
          <w:szCs w:val="20"/>
          <w:lang w:val="en-US" w:eastAsia="zh-CN"/>
        </w:rPr>
        <w:t>multiple UE</w:t>
      </w:r>
      <w:r>
        <w:rPr>
          <w:rFonts w:hint="default" w:ascii="Arial" w:hAnsi="Arial" w:cs="Arial" w:eastAsiaTheme="minorEastAsia"/>
          <w:b/>
          <w:bCs w:val="0"/>
          <w:iCs w:val="0"/>
          <w:kern w:val="0"/>
          <w:sz w:val="20"/>
          <w:szCs w:val="20"/>
          <w:lang w:val="en-US" w:eastAsia="zh-CN"/>
        </w:rPr>
        <w:t>’</w:t>
      </w:r>
      <w:r>
        <w:rPr>
          <w:rFonts w:hint="eastAsia" w:ascii="Arial" w:hAnsi="Arial" w:cs="Arial" w:eastAsiaTheme="minorEastAsia"/>
          <w:b/>
          <w:bCs w:val="0"/>
          <w:iCs w:val="0"/>
          <w:kern w:val="0"/>
          <w:sz w:val="20"/>
          <w:szCs w:val="20"/>
          <w:lang w:val="en-US" w:eastAsia="zh-CN"/>
        </w:rPr>
        <w:t>s contention resolution identity can be included in the Msg4.</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kern w:val="0"/>
          <w:szCs w:val="18"/>
          <w:lang w:val="en-GB" w:eastAsia="zh-CN"/>
        </w:rPr>
      </w:pPr>
      <w:r>
        <w:rPr>
          <w:rFonts w:hint="eastAsia" w:ascii="Arial" w:hAnsi="Arial" w:cs="Arial" w:eastAsiaTheme="minorEastAsia"/>
          <w:bCs w:val="0"/>
          <w:sz w:val="20"/>
          <w:szCs w:val="20"/>
          <w:lang w:val="en-US" w:eastAsia="zh-CN"/>
        </w:rPr>
        <w:t>Proposal 4: C-RNTI</w:t>
      </w:r>
      <w:r>
        <w:rPr>
          <w:rFonts w:hint="eastAsia" w:ascii="Arial" w:hAnsi="Arial" w:cs="Arial" w:eastAsiaTheme="minorEastAsia"/>
          <w:b/>
          <w:bCs w:val="0"/>
          <w:iCs w:val="0"/>
          <w:kern w:val="0"/>
          <w:sz w:val="20"/>
          <w:szCs w:val="20"/>
          <w:lang w:val="en-US" w:eastAsia="zh-CN"/>
        </w:rPr>
        <w:t xml:space="preserve"> can be included in the Msg4.</w:t>
      </w:r>
    </w:p>
    <w:p>
      <w:pPr>
        <w:pStyle w:val="2"/>
        <w:keepLines/>
        <w:pBdr>
          <w:top w:val="single" w:color="auto" w:sz="12" w:space="3"/>
        </w:pBdr>
        <w:spacing w:before="240" w:after="180"/>
        <w:ind w:left="425" w:hanging="425"/>
        <w:jc w:val="both"/>
      </w:pPr>
      <w:bookmarkStart w:id="2" w:name="OLE_LINK47"/>
      <w:bookmarkStart w:id="3" w:name="OLE_LINK59"/>
      <w:bookmarkStart w:id="4" w:name="OLE_LINK58"/>
      <w:bookmarkStart w:id="5" w:name="OLE_LINK60"/>
      <w:bookmarkStart w:id="6" w:name="OLE_LINK48"/>
      <w:r>
        <w:t>Reference</w:t>
      </w:r>
      <w:bookmarkEnd w:id="2"/>
      <w:bookmarkEnd w:id="3"/>
      <w:bookmarkEnd w:id="4"/>
      <w:bookmarkEnd w:id="5"/>
      <w:bookmarkEnd w:id="6"/>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Draft_RAN2_128_Meeting_Report_v1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2DB6612"/>
    <w:rsid w:val="0304423A"/>
    <w:rsid w:val="030F2DBB"/>
    <w:rsid w:val="035F60CC"/>
    <w:rsid w:val="03F47970"/>
    <w:rsid w:val="04044F9A"/>
    <w:rsid w:val="04603C0A"/>
    <w:rsid w:val="050C0141"/>
    <w:rsid w:val="06510970"/>
    <w:rsid w:val="06797CD3"/>
    <w:rsid w:val="06A00757"/>
    <w:rsid w:val="06DF7E6D"/>
    <w:rsid w:val="06FF294D"/>
    <w:rsid w:val="07331E25"/>
    <w:rsid w:val="07752096"/>
    <w:rsid w:val="07EF5BD4"/>
    <w:rsid w:val="082F6FF7"/>
    <w:rsid w:val="08415DB4"/>
    <w:rsid w:val="08454AB2"/>
    <w:rsid w:val="084C139F"/>
    <w:rsid w:val="08A22A43"/>
    <w:rsid w:val="094D21CC"/>
    <w:rsid w:val="0A6D15CC"/>
    <w:rsid w:val="0D860A22"/>
    <w:rsid w:val="0DD2564C"/>
    <w:rsid w:val="0F417E38"/>
    <w:rsid w:val="0F9D7474"/>
    <w:rsid w:val="103C0B3D"/>
    <w:rsid w:val="105B4363"/>
    <w:rsid w:val="108123D4"/>
    <w:rsid w:val="10AD2D6E"/>
    <w:rsid w:val="10C66D19"/>
    <w:rsid w:val="12105415"/>
    <w:rsid w:val="126256E5"/>
    <w:rsid w:val="132B45C8"/>
    <w:rsid w:val="145B124E"/>
    <w:rsid w:val="147A52C8"/>
    <w:rsid w:val="14926ED8"/>
    <w:rsid w:val="15215CC8"/>
    <w:rsid w:val="15242CCD"/>
    <w:rsid w:val="15462052"/>
    <w:rsid w:val="15DE1242"/>
    <w:rsid w:val="166C39B7"/>
    <w:rsid w:val="16AA6D34"/>
    <w:rsid w:val="176647AC"/>
    <w:rsid w:val="179A1B0C"/>
    <w:rsid w:val="198E0015"/>
    <w:rsid w:val="1AB17D6E"/>
    <w:rsid w:val="1ABB6560"/>
    <w:rsid w:val="1B445D6E"/>
    <w:rsid w:val="1B59397D"/>
    <w:rsid w:val="1BA10850"/>
    <w:rsid w:val="1C7B4CA3"/>
    <w:rsid w:val="1CA1384F"/>
    <w:rsid w:val="1E0B7CB6"/>
    <w:rsid w:val="1E523033"/>
    <w:rsid w:val="1E6A7BDD"/>
    <w:rsid w:val="1F045CEA"/>
    <w:rsid w:val="1F2C7D23"/>
    <w:rsid w:val="1FAF7026"/>
    <w:rsid w:val="20462FD7"/>
    <w:rsid w:val="21CD368A"/>
    <w:rsid w:val="221016C7"/>
    <w:rsid w:val="228D678C"/>
    <w:rsid w:val="22A27F45"/>
    <w:rsid w:val="22AC3DD3"/>
    <w:rsid w:val="23967BC1"/>
    <w:rsid w:val="23BF020B"/>
    <w:rsid w:val="24805F2B"/>
    <w:rsid w:val="24966A58"/>
    <w:rsid w:val="24E86231"/>
    <w:rsid w:val="26131534"/>
    <w:rsid w:val="26672625"/>
    <w:rsid w:val="26F53B52"/>
    <w:rsid w:val="273C2AE6"/>
    <w:rsid w:val="27487239"/>
    <w:rsid w:val="27E9536C"/>
    <w:rsid w:val="282B7F1A"/>
    <w:rsid w:val="282E6418"/>
    <w:rsid w:val="284C12BD"/>
    <w:rsid w:val="28514B4F"/>
    <w:rsid w:val="2BC97744"/>
    <w:rsid w:val="2BDF7690"/>
    <w:rsid w:val="2C167DFF"/>
    <w:rsid w:val="2C5E3FAA"/>
    <w:rsid w:val="2C881EDF"/>
    <w:rsid w:val="2DF85D92"/>
    <w:rsid w:val="2E3E1AA5"/>
    <w:rsid w:val="2E452750"/>
    <w:rsid w:val="2EB13602"/>
    <w:rsid w:val="2F652A33"/>
    <w:rsid w:val="2FE018AF"/>
    <w:rsid w:val="305C4D55"/>
    <w:rsid w:val="308138F8"/>
    <w:rsid w:val="30AD73A5"/>
    <w:rsid w:val="322B0AF9"/>
    <w:rsid w:val="329B7C99"/>
    <w:rsid w:val="32C77F8C"/>
    <w:rsid w:val="32CB387D"/>
    <w:rsid w:val="32D55AB9"/>
    <w:rsid w:val="3310192D"/>
    <w:rsid w:val="335B0D8A"/>
    <w:rsid w:val="33B41D34"/>
    <w:rsid w:val="33D37A84"/>
    <w:rsid w:val="33E72CDC"/>
    <w:rsid w:val="33EF0217"/>
    <w:rsid w:val="354766E8"/>
    <w:rsid w:val="356754B7"/>
    <w:rsid w:val="35A53430"/>
    <w:rsid w:val="37426E6E"/>
    <w:rsid w:val="38486C88"/>
    <w:rsid w:val="388B34B6"/>
    <w:rsid w:val="393B37B4"/>
    <w:rsid w:val="39DB56A4"/>
    <w:rsid w:val="3A0E2941"/>
    <w:rsid w:val="3A3A09C6"/>
    <w:rsid w:val="3B656647"/>
    <w:rsid w:val="3B8D13D0"/>
    <w:rsid w:val="3B957525"/>
    <w:rsid w:val="3BE514B4"/>
    <w:rsid w:val="3C7A0817"/>
    <w:rsid w:val="3CBF641E"/>
    <w:rsid w:val="3CD70242"/>
    <w:rsid w:val="3E2248D8"/>
    <w:rsid w:val="3FE0616F"/>
    <w:rsid w:val="4016756E"/>
    <w:rsid w:val="40973E49"/>
    <w:rsid w:val="40E05B05"/>
    <w:rsid w:val="40E10F3E"/>
    <w:rsid w:val="41D14C1D"/>
    <w:rsid w:val="42353253"/>
    <w:rsid w:val="42F46F0D"/>
    <w:rsid w:val="42FD4C37"/>
    <w:rsid w:val="435F628D"/>
    <w:rsid w:val="45B063D8"/>
    <w:rsid w:val="46682B04"/>
    <w:rsid w:val="470C53DE"/>
    <w:rsid w:val="4779366F"/>
    <w:rsid w:val="47C16086"/>
    <w:rsid w:val="47C512EE"/>
    <w:rsid w:val="47EC7853"/>
    <w:rsid w:val="48136031"/>
    <w:rsid w:val="482B0659"/>
    <w:rsid w:val="487E4912"/>
    <w:rsid w:val="48B061A5"/>
    <w:rsid w:val="48F165EB"/>
    <w:rsid w:val="49D966E1"/>
    <w:rsid w:val="49F62F33"/>
    <w:rsid w:val="4A0A51AC"/>
    <w:rsid w:val="4A736A5C"/>
    <w:rsid w:val="4A870271"/>
    <w:rsid w:val="4B5667E1"/>
    <w:rsid w:val="4BBE0820"/>
    <w:rsid w:val="4BD9044D"/>
    <w:rsid w:val="4C8A48AA"/>
    <w:rsid w:val="4CDB457B"/>
    <w:rsid w:val="4D5702DE"/>
    <w:rsid w:val="4D8917CF"/>
    <w:rsid w:val="4E322A5A"/>
    <w:rsid w:val="4EFC5EF9"/>
    <w:rsid w:val="4F1F0E61"/>
    <w:rsid w:val="4FB27051"/>
    <w:rsid w:val="4FCA1B2C"/>
    <w:rsid w:val="51951B3D"/>
    <w:rsid w:val="5215436D"/>
    <w:rsid w:val="54BF0AED"/>
    <w:rsid w:val="55EB6E4E"/>
    <w:rsid w:val="561B49FC"/>
    <w:rsid w:val="56561485"/>
    <w:rsid w:val="58196C7F"/>
    <w:rsid w:val="5A0B344B"/>
    <w:rsid w:val="5C0031E7"/>
    <w:rsid w:val="5C481980"/>
    <w:rsid w:val="5CEE0CA7"/>
    <w:rsid w:val="5D474464"/>
    <w:rsid w:val="5EE9029B"/>
    <w:rsid w:val="5F7C0711"/>
    <w:rsid w:val="5FEF6ACE"/>
    <w:rsid w:val="60B34005"/>
    <w:rsid w:val="60E953AA"/>
    <w:rsid w:val="61223B22"/>
    <w:rsid w:val="614420B6"/>
    <w:rsid w:val="61483DCA"/>
    <w:rsid w:val="616A23BB"/>
    <w:rsid w:val="61786A80"/>
    <w:rsid w:val="61BA59D1"/>
    <w:rsid w:val="61DC00C2"/>
    <w:rsid w:val="62590312"/>
    <w:rsid w:val="62815194"/>
    <w:rsid w:val="62BD5600"/>
    <w:rsid w:val="630A7F69"/>
    <w:rsid w:val="63E1421B"/>
    <w:rsid w:val="64034EA4"/>
    <w:rsid w:val="64C862AF"/>
    <w:rsid w:val="65184C81"/>
    <w:rsid w:val="651923CA"/>
    <w:rsid w:val="656D337B"/>
    <w:rsid w:val="663B653F"/>
    <w:rsid w:val="66E37CF1"/>
    <w:rsid w:val="67352FFD"/>
    <w:rsid w:val="67433D9E"/>
    <w:rsid w:val="67DC720C"/>
    <w:rsid w:val="67E92655"/>
    <w:rsid w:val="68377AAD"/>
    <w:rsid w:val="68473C7D"/>
    <w:rsid w:val="684B0BB7"/>
    <w:rsid w:val="688B7936"/>
    <w:rsid w:val="68C77475"/>
    <w:rsid w:val="68CE17A0"/>
    <w:rsid w:val="696F357D"/>
    <w:rsid w:val="69701295"/>
    <w:rsid w:val="69A27629"/>
    <w:rsid w:val="6A9D7635"/>
    <w:rsid w:val="6ABC46FD"/>
    <w:rsid w:val="6AF42729"/>
    <w:rsid w:val="6B8D221A"/>
    <w:rsid w:val="6BAD1D2D"/>
    <w:rsid w:val="6BBB6ACB"/>
    <w:rsid w:val="6BF4272A"/>
    <w:rsid w:val="6C750DEF"/>
    <w:rsid w:val="6CE858CE"/>
    <w:rsid w:val="6D16046B"/>
    <w:rsid w:val="6D8E2554"/>
    <w:rsid w:val="6D9A5E61"/>
    <w:rsid w:val="6E0D1FE7"/>
    <w:rsid w:val="6F740CE2"/>
    <w:rsid w:val="70123D3A"/>
    <w:rsid w:val="70436DC4"/>
    <w:rsid w:val="7055318F"/>
    <w:rsid w:val="70871801"/>
    <w:rsid w:val="71314C8A"/>
    <w:rsid w:val="71B9201A"/>
    <w:rsid w:val="72402019"/>
    <w:rsid w:val="727A4FD4"/>
    <w:rsid w:val="72806935"/>
    <w:rsid w:val="731D23A2"/>
    <w:rsid w:val="73707DE3"/>
    <w:rsid w:val="74201914"/>
    <w:rsid w:val="745C718B"/>
    <w:rsid w:val="74F97BE7"/>
    <w:rsid w:val="75372E17"/>
    <w:rsid w:val="76700534"/>
    <w:rsid w:val="76A345D7"/>
    <w:rsid w:val="77230C1C"/>
    <w:rsid w:val="77685D20"/>
    <w:rsid w:val="77760276"/>
    <w:rsid w:val="78911E34"/>
    <w:rsid w:val="7A145066"/>
    <w:rsid w:val="7A4B5FBA"/>
    <w:rsid w:val="7A5E174B"/>
    <w:rsid w:val="7A9C4D88"/>
    <w:rsid w:val="7A9C7192"/>
    <w:rsid w:val="7AAB7979"/>
    <w:rsid w:val="7B826359"/>
    <w:rsid w:val="7BF20CB4"/>
    <w:rsid w:val="7C330D5B"/>
    <w:rsid w:val="7CB92E75"/>
    <w:rsid w:val="7D294CE3"/>
    <w:rsid w:val="7D86797B"/>
    <w:rsid w:val="7D8C0969"/>
    <w:rsid w:val="7DF4667A"/>
    <w:rsid w:val="7E436222"/>
    <w:rsid w:val="7EC92764"/>
    <w:rsid w:val="7EED51DC"/>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21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ww</cp:lastModifiedBy>
  <cp:lastPrinted>2007-08-29T03:45:00Z</cp:lastPrinted>
  <dcterms:modified xsi:type="dcterms:W3CDTF">2025-02-07T01:17:16Z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